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0CD25" w14:textId="77777777" w:rsidR="00A56760" w:rsidRPr="00A56760" w:rsidRDefault="00A56760" w:rsidP="00A56760">
      <w:pPr>
        <w:autoSpaceDE w:val="0"/>
        <w:autoSpaceDN w:val="0"/>
        <w:adjustRightInd w:val="0"/>
        <w:spacing w:before="120" w:after="0" w:line="240" w:lineRule="auto"/>
        <w:ind w:left="6372"/>
        <w:jc w:val="both"/>
        <w:rPr>
          <w:rFonts w:asciiTheme="minorHAnsi" w:eastAsia="ArialNarrow,Bold" w:hAnsiTheme="minorHAnsi" w:cs="Arial"/>
          <w:b/>
          <w:bCs/>
          <w:color w:val="000000"/>
        </w:rPr>
      </w:pPr>
      <w:r w:rsidRPr="00A56760">
        <w:rPr>
          <w:rFonts w:asciiTheme="minorHAnsi" w:eastAsia="ArialNarrow,Bold" w:hAnsiTheme="minorHAnsi" w:cs="Arial"/>
          <w:b/>
          <w:bCs/>
          <w:color w:val="000000"/>
        </w:rPr>
        <w:t xml:space="preserve">   Załącznik nr 6 do SIWZ</w:t>
      </w:r>
    </w:p>
    <w:p w14:paraId="2D5AE3AD" w14:textId="77777777" w:rsidR="00A56760" w:rsidRPr="00A56760" w:rsidRDefault="00A56760" w:rsidP="00A5676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ArialNarrow" w:hAnsiTheme="minorHAnsi" w:cs="Arial"/>
          <w:color w:val="000000"/>
        </w:rPr>
      </w:pPr>
    </w:p>
    <w:p w14:paraId="12DD3885" w14:textId="77777777" w:rsidR="00A56760" w:rsidRPr="00A56760" w:rsidRDefault="00A56760" w:rsidP="00A56760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</w:rPr>
      </w:pPr>
      <w:r w:rsidRPr="00A56760">
        <w:rPr>
          <w:rFonts w:asciiTheme="minorHAnsi" w:eastAsia="ArialNarrow,Bold" w:hAnsiTheme="minorHAnsi" w:cs="Arial"/>
          <w:b/>
          <w:bCs/>
          <w:color w:val="000000"/>
        </w:rPr>
        <w:t>WARUNKI ŚWIADCZENIA SERWISU GWARANCYJNEGO,</w:t>
      </w:r>
      <w:r w:rsidRPr="00A56760">
        <w:rPr>
          <w:rFonts w:asciiTheme="minorHAnsi" w:eastAsia="ArialNarrow,Bold" w:hAnsiTheme="minorHAnsi" w:cs="Arial"/>
          <w:b/>
          <w:bCs/>
          <w:color w:val="000000"/>
        </w:rPr>
        <w:br/>
        <w:t xml:space="preserve">WSPARCIA UŻYTKOWNIKÓW HELP DESK, </w:t>
      </w:r>
      <w:r w:rsidRPr="00A56760">
        <w:rPr>
          <w:rFonts w:asciiTheme="minorHAnsi" w:eastAsia="ArialNarrow,Bold" w:hAnsiTheme="minorHAnsi" w:cs="Arial"/>
          <w:b/>
          <w:bCs/>
          <w:color w:val="000000"/>
        </w:rPr>
        <w:br/>
        <w:t>ASYSTY TECHNICZNEJ ORAZ ASYSTY WDROŻENIOWEJ</w:t>
      </w:r>
    </w:p>
    <w:p w14:paraId="4BCE0388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412F520C" w14:textId="2BEB73DB" w:rsidR="00A56760" w:rsidRPr="00A56760" w:rsidRDefault="00A56760" w:rsidP="00AD1289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</w:rPr>
      </w:pPr>
      <w:r w:rsidRPr="00A56760">
        <w:rPr>
          <w:rFonts w:asciiTheme="minorHAnsi" w:hAnsiTheme="minorHAnsi" w:cs="Arial"/>
          <w:b/>
        </w:rPr>
        <w:t>Warunki ogólne</w:t>
      </w:r>
    </w:p>
    <w:p w14:paraId="4F6B6EED" w14:textId="3EEAD4C6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zobowiązany jest do udzielenia Zamawiającemu gwarancji na przedmiot Umowy i zobowiązuje się świadczyć serwis gwarancyjny w okresie</w:t>
      </w:r>
      <w:r w:rsidR="00174D35">
        <w:rPr>
          <w:rFonts w:asciiTheme="minorHAnsi" w:hAnsiTheme="minorHAnsi" w:cs="Arial"/>
        </w:rPr>
        <w:t xml:space="preserve"> nie krótszym niż określony w </w:t>
      </w:r>
      <w:r w:rsidRPr="00A56760">
        <w:rPr>
          <w:rFonts w:asciiTheme="minorHAnsi" w:hAnsiTheme="minorHAnsi" w:cs="Arial"/>
          <w:b/>
        </w:rPr>
        <w:t>Załączniku nr 1 do SIWZ</w:t>
      </w:r>
      <w:r w:rsidRPr="00A56760">
        <w:rPr>
          <w:rFonts w:asciiTheme="minorHAnsi" w:hAnsiTheme="minorHAnsi" w:cs="Arial"/>
        </w:rPr>
        <w:t xml:space="preserve">, </w:t>
      </w:r>
    </w:p>
    <w:p w14:paraId="678B4865" w14:textId="34344918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Okres świadczenia gwarancji rozpoczyna się z dniem podpisania przez Strony Protokołu Odbioru </w:t>
      </w:r>
      <w:r w:rsidR="00174D35">
        <w:rPr>
          <w:rFonts w:asciiTheme="minorHAnsi" w:hAnsiTheme="minorHAnsi" w:cs="Arial"/>
        </w:rPr>
        <w:t xml:space="preserve">końcowego </w:t>
      </w:r>
      <w:r w:rsidRPr="00A56760">
        <w:rPr>
          <w:rFonts w:asciiTheme="minorHAnsi" w:hAnsiTheme="minorHAnsi" w:cs="Arial"/>
        </w:rPr>
        <w:t>Produktu.</w:t>
      </w:r>
    </w:p>
    <w:p w14:paraId="656543C6" w14:textId="77777777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 okresie trwania gwarancji Wykonawca jest zobowiązany do wykonywania świadczeń gwarancyjnych polegających na:</w:t>
      </w:r>
    </w:p>
    <w:p w14:paraId="78E5F125" w14:textId="77777777" w:rsidR="00A56760" w:rsidRPr="00A56760" w:rsidRDefault="00A56760" w:rsidP="00AD1289">
      <w:pPr>
        <w:pStyle w:val="Akapitzlist"/>
        <w:numPr>
          <w:ilvl w:val="0"/>
          <w:numId w:val="11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skutecznym Rozwiązaniu Zgłoszeń, w tym Incydentów i Problemów zgłaszanych przez Zamawiającego;</w:t>
      </w:r>
    </w:p>
    <w:p w14:paraId="28612010" w14:textId="77777777" w:rsidR="00A56760" w:rsidRPr="00A56760" w:rsidRDefault="00A56760" w:rsidP="00AD1289">
      <w:pPr>
        <w:pStyle w:val="Akapitzlist"/>
        <w:numPr>
          <w:ilvl w:val="0"/>
          <w:numId w:val="11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świadczeniu merytorycznych konsultacji Zamawiającemu, w szczególności odpowiadania na Zapytania Zamawiającego, w zakresie funkcjonowania i obsługi Systemu i jego poszczególnych elementów;</w:t>
      </w:r>
    </w:p>
    <w:p w14:paraId="3117D6F6" w14:textId="77777777" w:rsidR="00A56760" w:rsidRPr="00A56760" w:rsidRDefault="00A56760" w:rsidP="00AD1289">
      <w:pPr>
        <w:pStyle w:val="Akapitzlist"/>
        <w:numPr>
          <w:ilvl w:val="0"/>
          <w:numId w:val="11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dostarczaniu, instalacji i wdrażaniu niezbędnych lub celowych poprawek (w tym tzw. łat programowych - ang. „</w:t>
      </w:r>
      <w:proofErr w:type="spellStart"/>
      <w:r w:rsidRPr="00A56760">
        <w:rPr>
          <w:rFonts w:asciiTheme="minorHAnsi" w:hAnsiTheme="minorHAnsi" w:cs="Arial"/>
        </w:rPr>
        <w:t>patch</w:t>
      </w:r>
      <w:proofErr w:type="spellEnd"/>
      <w:r w:rsidRPr="00A56760">
        <w:rPr>
          <w:rFonts w:asciiTheme="minorHAnsi" w:hAnsiTheme="minorHAnsi" w:cs="Arial"/>
        </w:rPr>
        <w:t>") Systemu wraz z przekazaniem kompletnej Dokumentacji poprawek, instrukcji instalacji, instrukcji użytkowania;</w:t>
      </w:r>
    </w:p>
    <w:p w14:paraId="7A9E6A57" w14:textId="77777777" w:rsidR="00A56760" w:rsidRPr="00A56760" w:rsidRDefault="00A56760" w:rsidP="00AD1289">
      <w:pPr>
        <w:pStyle w:val="Akapitzlist"/>
        <w:numPr>
          <w:ilvl w:val="0"/>
          <w:numId w:val="11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innych koniecznych działaniach zapewniających prawidłowe - tzn. nieograniczone czasowo i funkcjonalnie działanie Systemu.</w:t>
      </w:r>
    </w:p>
    <w:p w14:paraId="2A6276AE" w14:textId="77777777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Wszelkie świadczenia dostarczone przez Wykonawcę w ramach gwarancji będą wykonywane przez wykwalifikowany i posiadający wystarczającą wiedzę na temat Systemu personel. </w:t>
      </w:r>
    </w:p>
    <w:p w14:paraId="1E6FBA6B" w14:textId="77777777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Wykonawca jest zobowiązany zrealizować wszelkie świadczenia w ramach gwarancji w taki sposób aby zapewnić pełną funkcjonalność Systemu w trakcie i po zrealizowaniu świadczenia. </w:t>
      </w:r>
    </w:p>
    <w:p w14:paraId="3F4F601B" w14:textId="77777777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Wszelkie działania związane z świadczeniem gwarancji muszą być wykonywane za wiedzą </w:t>
      </w:r>
      <w:r w:rsidRPr="00A56760">
        <w:rPr>
          <w:rFonts w:asciiTheme="minorHAnsi" w:hAnsiTheme="minorHAnsi" w:cs="Arial"/>
        </w:rPr>
        <w:br/>
        <w:t>i akceptacją Zamawiającego.</w:t>
      </w:r>
    </w:p>
    <w:p w14:paraId="6326BF5A" w14:textId="77777777" w:rsidR="00A56760" w:rsidRPr="00A56760" w:rsidRDefault="00A56760" w:rsidP="00AD1289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 okresie trwania Serwisu gwarancyjnego Wykonawca zobowiązany jest do:</w:t>
      </w:r>
    </w:p>
    <w:p w14:paraId="6087CDD7" w14:textId="77777777" w:rsidR="00A56760" w:rsidRPr="00A56760" w:rsidRDefault="00A56760" w:rsidP="00AD1289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nieodpłatnego dostarczania nowych wersji lub uaktualnienia Oprogramowania w przypadku gdy nastąpią zmiany w obowiązującym prawodawstwie, wymagające nowszej wersji lub uaktualnienia Oprogramowania,</w:t>
      </w:r>
    </w:p>
    <w:p w14:paraId="54F08B65" w14:textId="77777777" w:rsidR="00A56760" w:rsidRPr="00A56760" w:rsidRDefault="00A56760" w:rsidP="00AD1289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instalacji nowych wersji lub uaktualnień Oprogramowania w terminach uzgodnionych z Zamawiającym,</w:t>
      </w:r>
    </w:p>
    <w:p w14:paraId="2B2076D0" w14:textId="77777777" w:rsidR="00A56760" w:rsidRPr="00A56760" w:rsidRDefault="00A56760" w:rsidP="00AD1289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prowadzenia konsultacji i udzielania porad w zakresie zainstalowanej nowej wersji lub uaktualnień Oprogramowania: telefonicznie, faksem, pocztą elektroniczną poprzez zapewnienie uprawnionym pracownikom Zamawiającego dostępu do Help </w:t>
      </w:r>
      <w:proofErr w:type="spellStart"/>
      <w:r w:rsidRPr="00A56760">
        <w:rPr>
          <w:rFonts w:asciiTheme="minorHAnsi" w:hAnsiTheme="minorHAnsi" w:cs="Arial"/>
        </w:rPr>
        <w:t>Desku</w:t>
      </w:r>
      <w:proofErr w:type="spellEnd"/>
      <w:r w:rsidRPr="00A56760">
        <w:rPr>
          <w:rFonts w:asciiTheme="minorHAnsi" w:hAnsiTheme="minorHAnsi" w:cs="Arial"/>
        </w:rPr>
        <w:t xml:space="preserve"> Wykonawcy w zakresie niezbędnym do użytkowania Systemu,</w:t>
      </w:r>
    </w:p>
    <w:p w14:paraId="177ACA3A" w14:textId="77777777" w:rsidR="00A56760" w:rsidRPr="00A56760" w:rsidRDefault="00A56760" w:rsidP="00AD1289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usprawniania obsługi Systemu poprzez wprowadzanie autorskich udoskonaleń w technologii i funkcjonalności Oprogramowania,</w:t>
      </w:r>
    </w:p>
    <w:p w14:paraId="5CACE38B" w14:textId="77777777" w:rsidR="00A56760" w:rsidRPr="00A56760" w:rsidRDefault="00A56760" w:rsidP="00AD1289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lastRenderedPageBreak/>
        <w:t>informowania Zamawiającego o dostępnych aktualizacjach / poprawkach Oprogramowania.</w:t>
      </w:r>
    </w:p>
    <w:p w14:paraId="6FA2287B" w14:textId="77777777" w:rsidR="00A56760" w:rsidRPr="00A56760" w:rsidRDefault="00A56760" w:rsidP="00A56760">
      <w:pPr>
        <w:spacing w:after="0"/>
        <w:ind w:left="360"/>
        <w:jc w:val="both"/>
        <w:rPr>
          <w:rFonts w:asciiTheme="minorHAnsi" w:hAnsiTheme="minorHAnsi" w:cs="Arial"/>
          <w:b/>
        </w:rPr>
      </w:pPr>
    </w:p>
    <w:p w14:paraId="526BBACE" w14:textId="300B33FA" w:rsidR="00A56760" w:rsidRPr="00A56760" w:rsidRDefault="00A56760" w:rsidP="00AD1289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</w:rPr>
      </w:pPr>
      <w:r w:rsidRPr="00A56760">
        <w:rPr>
          <w:rFonts w:asciiTheme="minorHAnsi" w:hAnsiTheme="minorHAnsi" w:cs="Arial"/>
          <w:b/>
        </w:rPr>
        <w:t xml:space="preserve">Wsparcie użytkowników Help </w:t>
      </w:r>
      <w:proofErr w:type="spellStart"/>
      <w:r w:rsidRPr="00A56760">
        <w:rPr>
          <w:rFonts w:asciiTheme="minorHAnsi" w:hAnsiTheme="minorHAnsi" w:cs="Arial"/>
          <w:b/>
        </w:rPr>
        <w:t>Desk</w:t>
      </w:r>
      <w:proofErr w:type="spellEnd"/>
    </w:p>
    <w:p w14:paraId="09EA4ECD" w14:textId="5EC76E4E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zobowiązany jest świadczy</w:t>
      </w:r>
      <w:r w:rsidR="00174D35">
        <w:rPr>
          <w:rFonts w:asciiTheme="minorHAnsi" w:hAnsiTheme="minorHAnsi" w:cs="Arial"/>
        </w:rPr>
        <w:t xml:space="preserve">ć usługę Help </w:t>
      </w:r>
      <w:proofErr w:type="spellStart"/>
      <w:r w:rsidR="00174D35">
        <w:rPr>
          <w:rFonts w:asciiTheme="minorHAnsi" w:hAnsiTheme="minorHAnsi" w:cs="Arial"/>
        </w:rPr>
        <w:t>Desk</w:t>
      </w:r>
      <w:proofErr w:type="spellEnd"/>
      <w:r w:rsidR="00174D35">
        <w:rPr>
          <w:rFonts w:asciiTheme="minorHAnsi" w:hAnsiTheme="minorHAnsi" w:cs="Arial"/>
        </w:rPr>
        <w:t xml:space="preserve"> dla przedmiotu oferty</w:t>
      </w:r>
      <w:r w:rsidR="00C9298D">
        <w:rPr>
          <w:rFonts w:asciiTheme="minorHAnsi" w:hAnsiTheme="minorHAnsi" w:cs="Arial"/>
        </w:rPr>
        <w:t>.</w:t>
      </w:r>
    </w:p>
    <w:p w14:paraId="7CDDB967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w okresie świadczenia serwisu gwarancyjnego ponosi odpowiedzialność z tytułu gwarancji za Błędy Oprogramowania / Awarie oraz ich usunięcie.</w:t>
      </w:r>
    </w:p>
    <w:p w14:paraId="611EA7B1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Błąd musi być opisany przez zgłaszającego w sposób umożliwiający odtworzenie błędu w środowisku wzorcowym Wykonawcy. Jeżeli odtworzenie błędu nie będzie możliwe w środowisku wzorcowym, Wykonawca zdiagnozuje błąd w środowisku Zamawiającego, </w:t>
      </w:r>
    </w:p>
    <w:p w14:paraId="70141421" w14:textId="446E5C56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Wykonawca w ramach świadczeń Gwarancji zobowiązany jest do skutecznego Rozwiązania Zgłoszenia w terminach </w:t>
      </w:r>
      <w:r w:rsidRPr="00C90602">
        <w:rPr>
          <w:rFonts w:asciiTheme="minorHAnsi" w:hAnsiTheme="minorHAnsi" w:cs="Arial"/>
        </w:rPr>
        <w:t xml:space="preserve">określonych w § 9 pkt. 7 </w:t>
      </w:r>
      <w:r w:rsidR="00C90602" w:rsidRPr="00C90602">
        <w:rPr>
          <w:rFonts w:asciiTheme="minorHAnsi" w:hAnsiTheme="minorHAnsi" w:cs="Arial"/>
        </w:rPr>
        <w:t xml:space="preserve">i 8 </w:t>
      </w:r>
      <w:r w:rsidRPr="00C90602">
        <w:rPr>
          <w:rFonts w:asciiTheme="minorHAnsi" w:hAnsiTheme="minorHAnsi" w:cs="Arial"/>
        </w:rPr>
        <w:t>w</w:t>
      </w:r>
      <w:r w:rsidRPr="00A56760">
        <w:rPr>
          <w:rFonts w:asciiTheme="minorHAnsi" w:hAnsiTheme="minorHAnsi" w:cs="Arial"/>
        </w:rPr>
        <w:t xml:space="preserve"> </w:t>
      </w:r>
      <w:r w:rsidRPr="00A56760">
        <w:rPr>
          <w:rFonts w:asciiTheme="minorHAnsi" w:hAnsiTheme="minorHAnsi" w:cs="Arial"/>
          <w:b/>
        </w:rPr>
        <w:t>Załączniku nr 5 do SIWZ</w:t>
      </w:r>
      <w:r w:rsidRPr="00A56760">
        <w:rPr>
          <w:rFonts w:asciiTheme="minorHAnsi" w:hAnsiTheme="minorHAnsi" w:cs="Arial"/>
        </w:rPr>
        <w:t>.</w:t>
      </w:r>
    </w:p>
    <w:p w14:paraId="4D55263B" w14:textId="686B9C44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Czas Rozwiązania Zgłoszenia odnosi się do Oprogramowania dostarczonego przez Wykonawcę w ramach niniejszego postępowania. Wykonawca odpowiedzialny jest za usuwanie Błędów Oprogramowania wynikających z nieprawidłowego (niezgodnego z instrukcją) działania Oprogramowania. Wykonawca zobowiązany jest do wspierania Zamawiającego </w:t>
      </w:r>
      <w:r w:rsidR="00C9298D">
        <w:rPr>
          <w:rFonts w:asciiTheme="minorHAnsi" w:hAnsiTheme="minorHAnsi" w:cs="Arial"/>
        </w:rPr>
        <w:t xml:space="preserve">w </w:t>
      </w:r>
      <w:r w:rsidRPr="00A56760">
        <w:rPr>
          <w:rFonts w:asciiTheme="minorHAnsi" w:hAnsiTheme="minorHAnsi" w:cs="Arial"/>
        </w:rPr>
        <w:t xml:space="preserve">zakresie Rozwiązywania Zgłoszeń dot. Oprogramowania Narzędziowego, na które Wykonawca przekazał Zamawiającemu licencje firm trzecich. </w:t>
      </w:r>
    </w:p>
    <w:p w14:paraId="56A8832B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Jeżeli w wyniku zastosowania przez Wykonawcę wszelkich działań, Wykonawca stwierdzi, że Zgłoszenie było bezzasadne, wówczas Zgłaszający po wcześniejszym ustaleniu kosztów może odpłatnie zlecić wykonanie naprawy lub zlecić jej realizację  w ramach puli godzin przysługującej mu Asysty Technicznej.</w:t>
      </w:r>
    </w:p>
    <w:p w14:paraId="19BCEB61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Usunięcie Błędu Oprogramowania oznacza przekazanie przez Wykonawcę do Zgłaszającego, nowej wersji Oprogramowania, poprawki lub rekonfiguracji Oprogramowania oraz usunięcie skutków błędu. Wykonawca jest zobowiązany dopilnować, aby Zamawiający potwierdził odbiór informacji o nowej wersji oprogramowania, tak aby było jasne, że Zamawiający jest świadomy, że brak aktualizacji może spowodować pewne zagrożenia.</w:t>
      </w:r>
    </w:p>
    <w:p w14:paraId="7F9EAB25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nie będzie zobowiązany do usunięcia Błędów Oprogramowania spowodowanych obsługą Oprogramowania niezgodnie z Dokumentacją Użytkową ani Błędów Oprogramowania spowodowanych działaniem osób trzecich, za których działania Wykonawca nie będzie ponosić odpowiedzialności.</w:t>
      </w:r>
    </w:p>
    <w:p w14:paraId="0518B284" w14:textId="77777777" w:rsidR="00A56760" w:rsidRPr="00A56760" w:rsidRDefault="00A56760" w:rsidP="00AD1289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 uzasadnionych przypadkach Czas Rozwiązania Zgłoszenia, o których mowa w pkt 5 mogą zostać przedłużone za porozumieniem Przedstawicieli Stron. O zmianie terminów Rozwiązania Zgłoszenia Wykonawca poinformuje Zamawiającego e-mailem.</w:t>
      </w:r>
    </w:p>
    <w:p w14:paraId="1F852009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71455E1C" w14:textId="7A9D56B3" w:rsidR="00A56760" w:rsidRPr="00A56760" w:rsidRDefault="00A56760" w:rsidP="00AD1289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</w:rPr>
      </w:pPr>
      <w:r w:rsidRPr="00A56760">
        <w:rPr>
          <w:rFonts w:asciiTheme="minorHAnsi" w:hAnsiTheme="minorHAnsi" w:cs="Arial"/>
          <w:b/>
        </w:rPr>
        <w:t>Asysta techniczna</w:t>
      </w:r>
    </w:p>
    <w:p w14:paraId="0D385827" w14:textId="3E65B17A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zobowiązany jest świadczyć usługę Asy</w:t>
      </w:r>
      <w:r w:rsidR="00C9298D">
        <w:rPr>
          <w:rFonts w:asciiTheme="minorHAnsi" w:hAnsiTheme="minorHAnsi" w:cs="Arial"/>
        </w:rPr>
        <w:t>sty Technicznej dla</w:t>
      </w:r>
      <w:r w:rsidR="00174D35">
        <w:rPr>
          <w:rFonts w:asciiTheme="minorHAnsi" w:hAnsiTheme="minorHAnsi" w:cs="Arial"/>
        </w:rPr>
        <w:t xml:space="preserve"> przedmiotu oferty</w:t>
      </w:r>
      <w:r w:rsidRPr="00A56760">
        <w:rPr>
          <w:rFonts w:asciiTheme="minorHAnsi" w:hAnsiTheme="minorHAnsi" w:cs="Arial"/>
        </w:rPr>
        <w:t>.</w:t>
      </w:r>
    </w:p>
    <w:p w14:paraId="459A8CEF" w14:textId="77777777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Celem świadczenia usług Asysty technicznej jest bezpłatne wsparcie techniczne w używaniu Oprogramowania, do którego Zamawiający uzyskał licencję na podstawie niniejszego postępowania. Zamawiający przekaże Wykonawcy imienną listę osób uprawnionych ze strony Zamawiającego do korzystania z Asysty technicznej.</w:t>
      </w:r>
    </w:p>
    <w:p w14:paraId="551D9293" w14:textId="77777777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Wykonawca zobowiązany jest świadczyć bezpłatną Asystę techniczną przez okres zgodnie </w:t>
      </w:r>
      <w:r w:rsidRPr="00A56760">
        <w:rPr>
          <w:rFonts w:asciiTheme="minorHAnsi" w:hAnsiTheme="minorHAnsi" w:cs="Arial"/>
        </w:rPr>
        <w:br/>
        <w:t>z Ofertą. Okres i zakres Asysty technicznej rozpoczyna się z dniem podpisania przez Strony Protokołu Odbioru Końcowego.</w:t>
      </w:r>
    </w:p>
    <w:p w14:paraId="6A8D04DD" w14:textId="77777777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zapewni świadczenie Asysty technicznej w języku polskim.</w:t>
      </w:r>
    </w:p>
    <w:p w14:paraId="3F008EF7" w14:textId="3D2BF808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lastRenderedPageBreak/>
        <w:t>Wykonawca zagwarantuje świadczenie usługi Asysty technicznej wyłącznie przez wykwalifikowany personel, przez co rozumie się osobę/osoby z doświadczeniem, posiadające odpowiednie kwalifikacje merytoryczne i wiedzę na temat Systemu, po odpowiednim przeszkoleniu, cechujące się odpowiednimi predyspozycjami do kontaktu z Użytkownikiem Końco</w:t>
      </w:r>
      <w:r w:rsidR="00B03245">
        <w:rPr>
          <w:rFonts w:asciiTheme="minorHAnsi" w:hAnsiTheme="minorHAnsi" w:cs="Arial"/>
        </w:rPr>
        <w:t>wym tj. komunikatywnością, dobrą dykcją, odpornością</w:t>
      </w:r>
      <w:r w:rsidRPr="00A56760">
        <w:rPr>
          <w:rFonts w:asciiTheme="minorHAnsi" w:hAnsiTheme="minorHAnsi" w:cs="Arial"/>
        </w:rPr>
        <w:t xml:space="preserve"> na stres, cierpliwością, pozytywnym nastawieniem do Użytkownika Końcowego. Personel Wykonawcy świadczący usługę Asysty technicznej musi posiadać umiejętności pracy z „trudnym użytkownikiem” np. zdenerwowanym, niecierpliwym, zadającym niejasne pytania lub udzielający niejasnych odpowiedzi – nieobeznanym w temacie</w:t>
      </w:r>
    </w:p>
    <w:p w14:paraId="13797D2A" w14:textId="77777777" w:rsidR="00A56760" w:rsidRPr="00A56760" w:rsidRDefault="00A56760" w:rsidP="00AD1289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Przedmiotem usługi Asysty technicznej świadczonej przez Wykonawcę na rzecz Zamawiającego jest:</w:t>
      </w:r>
    </w:p>
    <w:p w14:paraId="36C36928" w14:textId="77777777" w:rsidR="00A56760" w:rsidRPr="00A56760" w:rsidRDefault="00A56760" w:rsidP="00AD1289">
      <w:pPr>
        <w:pStyle w:val="Akapitzlist"/>
        <w:numPr>
          <w:ilvl w:val="0"/>
          <w:numId w:val="10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gotowość do świadczenia konsultacji telefonicznych,</w:t>
      </w:r>
    </w:p>
    <w:p w14:paraId="01A60684" w14:textId="081FE24A" w:rsidR="00A56760" w:rsidRPr="00A56760" w:rsidRDefault="00A56760" w:rsidP="00AD1289">
      <w:pPr>
        <w:pStyle w:val="Akapitzlist"/>
        <w:numPr>
          <w:ilvl w:val="0"/>
          <w:numId w:val="10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gotowość do świadczenia zdalnej pomocy użytkownikom Systemów poprzez szyfrowane połączenia do komputera użytkownika za zgo</w:t>
      </w:r>
      <w:r w:rsidR="00B03245">
        <w:rPr>
          <w:rFonts w:asciiTheme="minorHAnsi" w:hAnsiTheme="minorHAnsi" w:cs="Arial"/>
        </w:rPr>
        <w:t>dą i pod nadzorem Zamawiającego</w:t>
      </w:r>
      <w:r w:rsidRPr="00A56760">
        <w:rPr>
          <w:rFonts w:asciiTheme="minorHAnsi" w:hAnsiTheme="minorHAnsi" w:cs="Arial"/>
        </w:rPr>
        <w:t>,</w:t>
      </w:r>
    </w:p>
    <w:p w14:paraId="5954A768" w14:textId="77777777" w:rsidR="00A56760" w:rsidRPr="00A56760" w:rsidRDefault="00A56760" w:rsidP="00AD1289">
      <w:pPr>
        <w:pStyle w:val="Akapitzlist"/>
        <w:numPr>
          <w:ilvl w:val="0"/>
          <w:numId w:val="10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gotowość do ewentualnego uruchomienia niezbędnej i koniecznej obsługi danych poprzez szyfrowane kanały dostępowe pomiędzy Wykonawcą a Zamawiającym,</w:t>
      </w:r>
    </w:p>
    <w:p w14:paraId="1FA71621" w14:textId="33BB41DD" w:rsidR="00A56760" w:rsidRPr="00A56760" w:rsidRDefault="00A56760" w:rsidP="00AD1289">
      <w:pPr>
        <w:pStyle w:val="Akapitzlist"/>
        <w:numPr>
          <w:ilvl w:val="0"/>
          <w:numId w:val="10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wykonania dodatkowych, a nieprzewidzianych w SIWZ funkcjonalności w Systemie, po zaakceptowaniu przez obie strony warunków realizacji (w tym pracochłonnoś</w:t>
      </w:r>
      <w:r w:rsidR="00C9298D">
        <w:rPr>
          <w:rFonts w:asciiTheme="minorHAnsi" w:hAnsiTheme="minorHAnsi" w:cs="Arial"/>
        </w:rPr>
        <w:t>ci) w ramach Asysty Technicznej.</w:t>
      </w:r>
    </w:p>
    <w:p w14:paraId="6808AAA8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2F87D17D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Każdorazowa usługa realizacji Asysty technicznej prowadzona jest na podstawie zlecenia usługi oraz zakończona Protokołem Odbioru opisującym czas trwania usługi i jej zakres.</w:t>
      </w:r>
    </w:p>
    <w:p w14:paraId="087C75D1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29C07864" w14:textId="5062BCBB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 ramach okresu Asysty technicznej Zamawiający będzie miał:</w:t>
      </w:r>
    </w:p>
    <w:p w14:paraId="57D76746" w14:textId="77777777" w:rsidR="00A56760" w:rsidRPr="00A56760" w:rsidRDefault="00A56760" w:rsidP="00AD1289">
      <w:pPr>
        <w:pStyle w:val="Akapitzlist"/>
        <w:numPr>
          <w:ilvl w:val="0"/>
          <w:numId w:val="7"/>
        </w:numPr>
        <w:spacing w:line="276" w:lineRule="auto"/>
        <w:ind w:left="567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świadczenie konsultacji telefonicznych oraz zdalnej pomocy Użytkownikom Końcowym,</w:t>
      </w:r>
    </w:p>
    <w:p w14:paraId="7DA1C530" w14:textId="77777777" w:rsidR="00A56760" w:rsidRPr="00A56760" w:rsidRDefault="00A56760" w:rsidP="00AD1289">
      <w:pPr>
        <w:pStyle w:val="Akapitzlist"/>
        <w:numPr>
          <w:ilvl w:val="0"/>
          <w:numId w:val="7"/>
        </w:numPr>
        <w:spacing w:line="276" w:lineRule="auto"/>
        <w:ind w:left="567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realizację zleconych przez niego dowolnych modyfikacji lub rozszerzeń Oprogramowania.</w:t>
      </w:r>
    </w:p>
    <w:p w14:paraId="4216BDB2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1A74E550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bookmarkStart w:id="0" w:name="_GoBack"/>
      <w:bookmarkEnd w:id="0"/>
      <w:r w:rsidRPr="00A56760">
        <w:rPr>
          <w:rFonts w:asciiTheme="minorHAnsi" w:hAnsiTheme="minorHAnsi" w:cs="Arial"/>
        </w:rPr>
        <w:t xml:space="preserve">Zamawiający wymaga, by Wykonawca, w terminie do 5 dni roboczych od początku każdego miesiąca realizacji Asysty Technicznej, dostarczył Zamawiającemu w formie elektronicznej w tym w plikach .xls lub równoważnych Raport z Asysty dotyczący w szczególności działania usługi Help </w:t>
      </w:r>
      <w:proofErr w:type="spellStart"/>
      <w:r w:rsidRPr="00A56760">
        <w:rPr>
          <w:rFonts w:asciiTheme="minorHAnsi" w:hAnsiTheme="minorHAnsi" w:cs="Arial"/>
        </w:rPr>
        <w:t>Desk</w:t>
      </w:r>
      <w:proofErr w:type="spellEnd"/>
      <w:r w:rsidRPr="00A56760">
        <w:rPr>
          <w:rFonts w:asciiTheme="minorHAnsi" w:hAnsiTheme="minorHAnsi" w:cs="Arial"/>
        </w:rPr>
        <w:t xml:space="preserve">. Raport powinien zawierać: wykaz wszystkich Zgłoszeń wraz z identyfikatorem zgłoszenia, tematem zgłoszenia, wskazaniem modułu w Systemie którego dotyczy Zgłoszenie, kategorią zgłoszenia, priorytetem zgłoszenia, danymi Użytkownika zgłaszającego, sposobem rozwiązania zgłoszenia, treścią odpowiedzi w przypadku Zapytania, opisem modyfikacji w przypadku Modyfikacji, datą rejestracji, datę i godzinę zamknięcia Zgłoszenia. </w:t>
      </w:r>
    </w:p>
    <w:p w14:paraId="118DFC71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7A7202F8" w14:textId="7138F374" w:rsidR="00A56760" w:rsidRPr="00A56760" w:rsidRDefault="00A56760" w:rsidP="00AD1289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</w:rPr>
      </w:pPr>
      <w:r w:rsidRPr="00A56760">
        <w:rPr>
          <w:rFonts w:asciiTheme="minorHAnsi" w:hAnsiTheme="minorHAnsi" w:cs="Arial"/>
          <w:b/>
        </w:rPr>
        <w:t>Asysta Wdrożeniowa</w:t>
      </w:r>
    </w:p>
    <w:p w14:paraId="02E8EC18" w14:textId="740158AF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zobowiązany jest świadczyć usługę Asysty Wdrożeniowej dla</w:t>
      </w:r>
      <w:r w:rsidR="00B91477">
        <w:rPr>
          <w:rFonts w:asciiTheme="minorHAnsi" w:hAnsiTheme="minorHAnsi" w:cs="Arial"/>
        </w:rPr>
        <w:t xml:space="preserve"> przedmiotu oferty</w:t>
      </w:r>
      <w:r w:rsidRPr="00A56760">
        <w:rPr>
          <w:rFonts w:asciiTheme="minorHAnsi" w:hAnsiTheme="minorHAnsi" w:cs="Arial"/>
        </w:rPr>
        <w:t>.</w:t>
      </w:r>
    </w:p>
    <w:p w14:paraId="3CB5FBE8" w14:textId="38352512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Celem świadczenia usług Asysty Wdrożeniowej jest wsparcie techniczne w zakresie instalacji, konfiguracji, parametryzacji oraz bieżącej eksploatacji Oprogramowania, do którego Zamawiający uzyskał licencję na podstawie niniejszego postępowania w siedzibie Zamawiającego podczas etapu instalacji lub wdrażania Oprogramowania. </w:t>
      </w:r>
    </w:p>
    <w:p w14:paraId="2C8DCD0D" w14:textId="4C59ADA7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Zakres Asysty Wdrożeniowej: min. </w:t>
      </w:r>
      <w:r w:rsidR="00C90602">
        <w:rPr>
          <w:rFonts w:asciiTheme="minorHAnsi" w:hAnsiTheme="minorHAnsi" w:cs="Arial"/>
        </w:rPr>
        <w:t>30</w:t>
      </w:r>
      <w:r w:rsidRPr="00A56760">
        <w:rPr>
          <w:rFonts w:asciiTheme="minorHAnsi" w:hAnsiTheme="minorHAnsi" w:cs="Arial"/>
        </w:rPr>
        <w:t xml:space="preserve"> dni Asysty po min. 6 godzin jednego dnia. </w:t>
      </w:r>
    </w:p>
    <w:p w14:paraId="57002711" w14:textId="77777777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Świadczenie Asysty Wdrożeniowej rozpoczyna się z dniem podpisania przez Strony Protokołu Odbioru Końcowego.</w:t>
      </w:r>
    </w:p>
    <w:p w14:paraId="3BE78B9F" w14:textId="77777777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Wykonawca zapewni świadczenie Asysty Wdrożeniowej w języku polskim.</w:t>
      </w:r>
    </w:p>
    <w:p w14:paraId="3CE42170" w14:textId="54C0DC1A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lastRenderedPageBreak/>
        <w:t>Wykonawca zagwarantuje świadczenie usługi Asysty Wdrożeniowej wyłącznie przez wykwalifikowany personel, przez co rozumie się osobę/osoby z doświadczeniem, posiadające odpowiednie kwalifikacje merytoryczne i wiedzę na temat Systemu, po odpowiednim przeszkoleniu, cechujące się odpowiednimi predyspozycjami do kontaktu z Użytkownikiem Końco</w:t>
      </w:r>
      <w:r w:rsidR="00B91477">
        <w:rPr>
          <w:rFonts w:asciiTheme="minorHAnsi" w:hAnsiTheme="minorHAnsi" w:cs="Arial"/>
        </w:rPr>
        <w:t>wym tj. komunikatywnością, dobrą dykcją, odpornością</w:t>
      </w:r>
      <w:r w:rsidRPr="00A56760">
        <w:rPr>
          <w:rFonts w:asciiTheme="minorHAnsi" w:hAnsiTheme="minorHAnsi" w:cs="Arial"/>
        </w:rPr>
        <w:t xml:space="preserve"> na stres, cierpliwością, pozytywnym nastawieniem do Użytkownika Końcowego. Personel Wykonawcy świadczący usługę Asysty Wdrożeniową musi posiadać umiejętności pracy z „trudnym użytkownikiem” np. zdenerwowanym, niecierpliwym, zadającym niejasne pytania lub udzielający niejasnych odpowiedzi – nieobeznanym w temacie</w:t>
      </w:r>
    </w:p>
    <w:p w14:paraId="16E394E4" w14:textId="77777777" w:rsidR="00A56760" w:rsidRPr="00A56760" w:rsidRDefault="00A56760" w:rsidP="00AD1289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Przedmiotem usługi Asysty Wdrożeniowej świadczonej przez Wykonawcę na rzecz Zamawiającego w siedzibie Zamawiającego jest:</w:t>
      </w:r>
    </w:p>
    <w:p w14:paraId="33D3A215" w14:textId="77777777" w:rsidR="00A56760" w:rsidRPr="00A56760" w:rsidRDefault="00A56760" w:rsidP="00AD1289">
      <w:pPr>
        <w:pStyle w:val="Akapitzlist"/>
        <w:numPr>
          <w:ilvl w:val="0"/>
          <w:numId w:val="13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świadczenie konsultacji w siedzibie Zamawiającego lub Partnera Projektu,</w:t>
      </w:r>
    </w:p>
    <w:p w14:paraId="58FDBC65" w14:textId="77777777" w:rsidR="00A56760" w:rsidRPr="00A56760" w:rsidRDefault="00A56760" w:rsidP="00AD1289">
      <w:pPr>
        <w:pStyle w:val="Akapitzlist"/>
        <w:numPr>
          <w:ilvl w:val="0"/>
          <w:numId w:val="13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gotowość do świadczenia zdalnej pomocy użytkownikom Systemów poprzez szyfrowane połączenia do komputera użytkownika za zgodą i pod nadzorem Zamawiającego,</w:t>
      </w:r>
    </w:p>
    <w:p w14:paraId="19315472" w14:textId="77777777" w:rsidR="00A56760" w:rsidRPr="00A56760" w:rsidRDefault="00A56760" w:rsidP="00AD1289">
      <w:pPr>
        <w:pStyle w:val="Akapitzlist"/>
        <w:numPr>
          <w:ilvl w:val="0"/>
          <w:numId w:val="13"/>
        </w:numPr>
        <w:spacing w:line="276" w:lineRule="auto"/>
        <w:ind w:left="567" w:hanging="284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gotowość do ewentualnego uruchomienia niezbędnej i koniecznej obsługi danych poprzez szyfrowane kanały dostępowe pomiędzy Wykonawcą a Zamawiającym,</w:t>
      </w:r>
    </w:p>
    <w:p w14:paraId="14816685" w14:textId="77777777" w:rsidR="00A56760" w:rsidRPr="00A56760" w:rsidRDefault="00A56760" w:rsidP="00A56760">
      <w:pPr>
        <w:pStyle w:val="Akapitzlist"/>
        <w:ind w:left="851"/>
        <w:jc w:val="both"/>
        <w:rPr>
          <w:rFonts w:asciiTheme="minorHAnsi" w:hAnsiTheme="minorHAnsi" w:cs="Arial"/>
        </w:rPr>
      </w:pPr>
    </w:p>
    <w:p w14:paraId="4346AC45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Każdorazowa usługa realizacji Asysty Wdrożeniowej prowadzona jest na podstawie zlecenia usługi oraz zakończona Protokołem Odbioru opisującym czas trwania usługi i jej zakres.</w:t>
      </w:r>
    </w:p>
    <w:p w14:paraId="094BB680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38A50166" w14:textId="5ECE6196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 xml:space="preserve">W ramach okresu Asysty Wdrożeniowej Zamawiający będzie miał do wykorzystania pulę </w:t>
      </w:r>
      <w:r w:rsidR="00C90602">
        <w:rPr>
          <w:rFonts w:asciiTheme="minorHAnsi" w:hAnsiTheme="minorHAnsi" w:cs="Arial"/>
          <w:b/>
        </w:rPr>
        <w:t>30</w:t>
      </w:r>
      <w:r w:rsidRPr="00A56760">
        <w:rPr>
          <w:rFonts w:asciiTheme="minorHAnsi" w:hAnsiTheme="minorHAnsi" w:cs="Arial"/>
          <w:b/>
        </w:rPr>
        <w:t xml:space="preserve"> bloków/dni</w:t>
      </w:r>
      <w:r w:rsidR="00C90602">
        <w:rPr>
          <w:rFonts w:asciiTheme="minorHAnsi" w:hAnsiTheme="minorHAnsi" w:cs="Arial"/>
        </w:rPr>
        <w:t xml:space="preserve"> po min. 6 roboczogodzin każdy</w:t>
      </w:r>
      <w:r w:rsidRPr="00A56760">
        <w:rPr>
          <w:rFonts w:asciiTheme="minorHAnsi" w:hAnsiTheme="minorHAnsi" w:cs="Arial"/>
        </w:rPr>
        <w:t xml:space="preserve"> przeznaczonych na:</w:t>
      </w:r>
    </w:p>
    <w:p w14:paraId="2D338909" w14:textId="77777777" w:rsidR="00A56760" w:rsidRPr="00A56760" w:rsidRDefault="00A56760" w:rsidP="00AD1289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świadczenie wsparcia technicznego Użytkownikom Końcowym,</w:t>
      </w:r>
    </w:p>
    <w:p w14:paraId="2D1CF616" w14:textId="77777777" w:rsidR="00A56760" w:rsidRPr="00A56760" w:rsidRDefault="00A56760" w:rsidP="00AD1289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świadczenie konsultacji oraz zdalnej pomocy Użytkownikom Końcowym.</w:t>
      </w:r>
    </w:p>
    <w:p w14:paraId="4B197F56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2C36DBD0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Zarejestrowany czas pracy poświęcony na Asystę Wdrożeniową będzie sukcesywnie pomniejszać wielkość puli dla Asysty Wdrożeniowej aż do jej wyczerpania.</w:t>
      </w:r>
    </w:p>
    <w:p w14:paraId="4F9B7EAC" w14:textId="77777777" w:rsidR="00A56760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</w:p>
    <w:p w14:paraId="15775B1F" w14:textId="4A137523" w:rsidR="00976296" w:rsidRPr="00A56760" w:rsidRDefault="00A56760" w:rsidP="00A56760">
      <w:pPr>
        <w:spacing w:after="0"/>
        <w:jc w:val="both"/>
        <w:rPr>
          <w:rFonts w:asciiTheme="minorHAnsi" w:hAnsiTheme="minorHAnsi" w:cs="Arial"/>
        </w:rPr>
      </w:pPr>
      <w:r w:rsidRPr="00A56760">
        <w:rPr>
          <w:rFonts w:asciiTheme="minorHAnsi" w:hAnsiTheme="minorHAnsi" w:cs="Arial"/>
        </w:rPr>
        <w:t>Zamawiający wymaga, by Wykonawca, w</w:t>
      </w:r>
      <w:r w:rsidR="0020641A">
        <w:rPr>
          <w:rFonts w:asciiTheme="minorHAnsi" w:hAnsiTheme="minorHAnsi" w:cs="Arial"/>
        </w:rPr>
        <w:t xml:space="preserve"> terminie do 5 dni roboczych po</w:t>
      </w:r>
      <w:r w:rsidRPr="00A56760">
        <w:rPr>
          <w:rFonts w:asciiTheme="minorHAnsi" w:hAnsiTheme="minorHAnsi" w:cs="Arial"/>
        </w:rPr>
        <w:t xml:space="preserve"> każdym bloku/dniu realizacji Asysty Wdrożeniowej, dostarczył Zamawiającemu w formie elektronicznej Raport z wykonanych prac w ramach Asysty Wdrożeniowej dla danego dnia/bloku. </w:t>
      </w:r>
    </w:p>
    <w:sectPr w:rsidR="00976296" w:rsidRPr="00A56760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63BFB" w14:textId="77777777" w:rsidR="00AA38C4" w:rsidRDefault="00AA38C4">
      <w:pPr>
        <w:spacing w:after="0" w:line="240" w:lineRule="auto"/>
      </w:pPr>
      <w:r>
        <w:separator/>
      </w:r>
    </w:p>
  </w:endnote>
  <w:endnote w:type="continuationSeparator" w:id="0">
    <w:p w14:paraId="073A057C" w14:textId="77777777" w:rsidR="00AA38C4" w:rsidRDefault="00AA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5B036C35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67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667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5B036C35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3667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3667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652C3" w14:textId="77777777" w:rsidR="00AA38C4" w:rsidRDefault="00AA38C4">
      <w:pPr>
        <w:spacing w:after="0" w:line="240" w:lineRule="auto"/>
      </w:pPr>
      <w:r>
        <w:separator/>
      </w:r>
    </w:p>
  </w:footnote>
  <w:footnote w:type="continuationSeparator" w:id="0">
    <w:p w14:paraId="634476A5" w14:textId="77777777" w:rsidR="00AA38C4" w:rsidRDefault="00AA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4B0496"/>
    <w:multiLevelType w:val="hybridMultilevel"/>
    <w:tmpl w:val="2446E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7BE"/>
    <w:multiLevelType w:val="hybridMultilevel"/>
    <w:tmpl w:val="131C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ED3"/>
    <w:multiLevelType w:val="hybridMultilevel"/>
    <w:tmpl w:val="2A0C79D0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BF94E02"/>
    <w:multiLevelType w:val="hybridMultilevel"/>
    <w:tmpl w:val="C644D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0715B7"/>
    <w:multiLevelType w:val="hybridMultilevel"/>
    <w:tmpl w:val="FEF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4E1841E5"/>
    <w:multiLevelType w:val="hybridMultilevel"/>
    <w:tmpl w:val="74CAF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F1CBD"/>
    <w:multiLevelType w:val="hybridMultilevel"/>
    <w:tmpl w:val="2A0C79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B137CE"/>
    <w:multiLevelType w:val="hybridMultilevel"/>
    <w:tmpl w:val="2A0C79D0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8A13152"/>
    <w:multiLevelType w:val="hybridMultilevel"/>
    <w:tmpl w:val="FEF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102D15"/>
    <w:rsid w:val="00174D35"/>
    <w:rsid w:val="001C67C0"/>
    <w:rsid w:val="001D5EE5"/>
    <w:rsid w:val="001E7559"/>
    <w:rsid w:val="0020641A"/>
    <w:rsid w:val="002C5C6D"/>
    <w:rsid w:val="003D7443"/>
    <w:rsid w:val="003F76E2"/>
    <w:rsid w:val="005D750B"/>
    <w:rsid w:val="005F4C12"/>
    <w:rsid w:val="006067D0"/>
    <w:rsid w:val="00643E9D"/>
    <w:rsid w:val="00670E0C"/>
    <w:rsid w:val="006A6E2D"/>
    <w:rsid w:val="006E2D1F"/>
    <w:rsid w:val="00700A60"/>
    <w:rsid w:val="00736677"/>
    <w:rsid w:val="00750B53"/>
    <w:rsid w:val="00976296"/>
    <w:rsid w:val="00A56760"/>
    <w:rsid w:val="00AA38C4"/>
    <w:rsid w:val="00AD0AE1"/>
    <w:rsid w:val="00AD1289"/>
    <w:rsid w:val="00B03245"/>
    <w:rsid w:val="00B91477"/>
    <w:rsid w:val="00C16AAA"/>
    <w:rsid w:val="00C90602"/>
    <w:rsid w:val="00C9298D"/>
    <w:rsid w:val="00DF0FF4"/>
    <w:rsid w:val="00EC224C"/>
    <w:rsid w:val="00F1147A"/>
    <w:rsid w:val="00F34483"/>
    <w:rsid w:val="00F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2017-11-23T10:59:00Z</dcterms:created>
  <dcterms:modified xsi:type="dcterms:W3CDTF">2017-11-30T11:37:00Z</dcterms:modified>
</cp:coreProperties>
</file>